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9E1F8B" w:rsidP="00BA71DB">
      <w:pPr>
        <w:rPr>
          <w:szCs w:val="28"/>
        </w:rPr>
      </w:pPr>
      <w:r>
        <w:rPr>
          <w:szCs w:val="28"/>
        </w:rPr>
        <w:t xml:space="preserve"> </w:t>
      </w:r>
      <w:r w:rsidR="00D43320"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A16000" w:rsidTr="00380826">
        <w:tc>
          <w:tcPr>
            <w:tcW w:w="4678" w:type="dxa"/>
          </w:tcPr>
          <w:p w:rsidR="004B6B55" w:rsidRPr="00A16000" w:rsidRDefault="00730BA0" w:rsidP="00730BA0">
            <w:pPr>
              <w:ind w:left="-108" w:right="34"/>
              <w:jc w:val="both"/>
              <w:rPr>
                <w:sz w:val="27"/>
                <w:szCs w:val="27"/>
              </w:rPr>
            </w:pPr>
            <w:r w:rsidRPr="00A16000">
              <w:rPr>
                <w:sz w:val="27"/>
                <w:szCs w:val="27"/>
              </w:rPr>
              <w:t xml:space="preserve">Об отчете о работе Счетной палаты </w:t>
            </w:r>
            <w:r w:rsidR="006B38D6" w:rsidRPr="00A16000">
              <w:rPr>
                <w:sz w:val="27"/>
                <w:szCs w:val="27"/>
              </w:rPr>
              <w:t>Алтайского края за 202</w:t>
            </w:r>
            <w:r w:rsidR="00A16000" w:rsidRPr="00A16000">
              <w:rPr>
                <w:sz w:val="27"/>
                <w:szCs w:val="27"/>
              </w:rPr>
              <w:t>1</w:t>
            </w:r>
            <w:r w:rsidRPr="00A16000">
              <w:rPr>
                <w:sz w:val="27"/>
                <w:szCs w:val="27"/>
              </w:rPr>
              <w:t xml:space="preserve"> год </w:t>
            </w:r>
          </w:p>
          <w:p w:rsidR="00895DCD" w:rsidRPr="00A16000" w:rsidRDefault="00895DCD" w:rsidP="005D3FFE">
            <w:pPr>
              <w:ind w:left="-108"/>
              <w:jc w:val="both"/>
              <w:rPr>
                <w:sz w:val="27"/>
                <w:szCs w:val="27"/>
              </w:rPr>
            </w:pPr>
          </w:p>
          <w:p w:rsidR="00730BA0" w:rsidRPr="00A16000" w:rsidRDefault="00730BA0" w:rsidP="005D3FFE">
            <w:pPr>
              <w:ind w:left="-108"/>
              <w:jc w:val="both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895DCD" w:rsidRPr="00A16000" w:rsidRDefault="00A10F44" w:rsidP="00A10F44">
            <w:pPr>
              <w:tabs>
                <w:tab w:val="center" w:pos="1168"/>
                <w:tab w:val="left" w:pos="4853"/>
              </w:tabs>
              <w:ind w:right="-11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Проект</w:t>
            </w:r>
            <w:r w:rsidR="00332B99" w:rsidRPr="00A16000">
              <w:rPr>
                <w:sz w:val="27"/>
                <w:szCs w:val="27"/>
              </w:rPr>
              <w:tab/>
              <w:t xml:space="preserve">                                                        </w:t>
            </w:r>
            <w:r w:rsidR="00332B99" w:rsidRPr="00A16000">
              <w:rPr>
                <w:sz w:val="27"/>
                <w:szCs w:val="27"/>
              </w:rPr>
              <w:tab/>
            </w:r>
            <w:r w:rsidR="008B0927" w:rsidRPr="00A16000">
              <w:rPr>
                <w:sz w:val="27"/>
                <w:szCs w:val="27"/>
              </w:rPr>
              <w:t xml:space="preserve"> </w:t>
            </w:r>
          </w:p>
        </w:tc>
      </w:tr>
    </w:tbl>
    <w:p w:rsidR="00A16000" w:rsidRPr="00A16000" w:rsidRDefault="00A16000" w:rsidP="00A16000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 xml:space="preserve">Рассмотрев отчет о работе Счетной палаты Алтайского края за 2021 </w:t>
      </w:r>
      <w:proofErr w:type="gramStart"/>
      <w:r w:rsidRPr="00A16000">
        <w:rPr>
          <w:rFonts w:eastAsiaTheme="minorHAnsi"/>
          <w:sz w:val="27"/>
          <w:szCs w:val="27"/>
          <w:lang w:eastAsia="en-US"/>
        </w:rPr>
        <w:t xml:space="preserve">год, </w:t>
      </w:r>
      <w:r>
        <w:rPr>
          <w:rFonts w:eastAsiaTheme="minorHAnsi"/>
          <w:sz w:val="27"/>
          <w:szCs w:val="27"/>
          <w:lang w:eastAsia="en-US"/>
        </w:rPr>
        <w:t xml:space="preserve">  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         </w:t>
      </w:r>
      <w:r w:rsidRPr="00A16000">
        <w:rPr>
          <w:rFonts w:eastAsiaTheme="minorHAnsi"/>
          <w:sz w:val="27"/>
          <w:szCs w:val="27"/>
          <w:lang w:eastAsia="en-US"/>
        </w:rPr>
        <w:t>в соответствии со статьей 73 Устава (Основного Закона) Алтайского края, статьей 19 закона Алтайского края «О Счетной палате Алтайского края» Алтайское краевое Законодательное Собрание ПОСТАНОВЛЯЕТ:</w:t>
      </w:r>
    </w:p>
    <w:p w:rsidR="00A16000" w:rsidRPr="00A16000" w:rsidRDefault="00A16000" w:rsidP="00A16000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</w:p>
    <w:p w:rsidR="00A16000" w:rsidRPr="00A16000" w:rsidRDefault="00A16000" w:rsidP="00A16000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1. Принять к сведению отчет о работе Счетной палаты Алтайского края за 2021 год.</w:t>
      </w:r>
    </w:p>
    <w:p w:rsidR="00A16000" w:rsidRPr="00A16000" w:rsidRDefault="00A16000" w:rsidP="00A16000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2. Рекомендовать Счетной палате Алтайского края:</w:t>
      </w:r>
    </w:p>
    <w:p w:rsidR="00A16000" w:rsidRPr="00A16000" w:rsidRDefault="00A16000" w:rsidP="00A160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1)</w:t>
      </w:r>
      <w:r w:rsidRPr="00A16000">
        <w:rPr>
          <w:rFonts w:eastAsiaTheme="minorHAnsi"/>
          <w:sz w:val="27"/>
          <w:szCs w:val="27"/>
          <w:lang w:eastAsia="en-US"/>
        </w:rPr>
        <w:tab/>
        <w:t xml:space="preserve">осуществлять постоянный анализ и мониторинг бюджетного процесса в Алтайском крае, а также оперативный анализ исполнения краевого бюджета и бюджета Территориального фонда обязательного медицинского страхования Алтайского края; </w:t>
      </w:r>
    </w:p>
    <w:p w:rsidR="00A16000" w:rsidRPr="00A16000" w:rsidRDefault="00A16000" w:rsidP="00A160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2)</w:t>
      </w:r>
      <w:r w:rsidRPr="00A16000">
        <w:rPr>
          <w:rFonts w:eastAsiaTheme="minorHAnsi"/>
          <w:sz w:val="27"/>
          <w:szCs w:val="27"/>
          <w:lang w:eastAsia="en-US"/>
        </w:rPr>
        <w:tab/>
        <w:t>обеспечить ежеквартальное представление информации о ходе исполнения краевого бюджета, бюджета Территориального фонда обязательного медицинского страхования Алтайского края в Алтайское краевое Законодательное Собрание;</w:t>
      </w:r>
    </w:p>
    <w:p w:rsidR="00A16000" w:rsidRPr="00A16000" w:rsidRDefault="00A16000" w:rsidP="00A160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="Calibri"/>
          <w:sz w:val="27"/>
          <w:szCs w:val="27"/>
          <w:lang w:eastAsia="en-US"/>
        </w:rPr>
        <w:t>3)</w:t>
      </w:r>
      <w:r w:rsidRPr="00A16000">
        <w:rPr>
          <w:rFonts w:eastAsia="Calibri"/>
          <w:sz w:val="27"/>
          <w:szCs w:val="27"/>
          <w:lang w:eastAsia="en-US"/>
        </w:rPr>
        <w:tab/>
        <w:t>осуществлять</w:t>
      </w:r>
      <w:r w:rsidRPr="00A16000">
        <w:rPr>
          <w:rFonts w:eastAsiaTheme="minorHAnsi"/>
          <w:sz w:val="27"/>
          <w:szCs w:val="27"/>
          <w:lang w:eastAsia="en-US"/>
        </w:rPr>
        <w:t xml:space="preserve"> оценку результатов достижения целей социально-экономического развития Алтайского края, предусмотренных документами стратегического планирования Алтайского края, используя ее результаты</w:t>
      </w:r>
      <w:r w:rsidRPr="00A16000">
        <w:rPr>
          <w:rFonts w:eastAsia="Calibri"/>
          <w:sz w:val="27"/>
          <w:szCs w:val="27"/>
          <w:lang w:eastAsia="en-US"/>
        </w:rPr>
        <w:t xml:space="preserve"> при формировании заключения на отчет об исполнении краевого бюджета</w:t>
      </w:r>
      <w:r w:rsidRPr="00A16000">
        <w:rPr>
          <w:rFonts w:eastAsiaTheme="minorHAnsi"/>
          <w:sz w:val="27"/>
          <w:szCs w:val="27"/>
          <w:lang w:eastAsia="en-US"/>
        </w:rPr>
        <w:t>;</w:t>
      </w:r>
    </w:p>
    <w:p w:rsidR="00A16000" w:rsidRPr="00A16000" w:rsidRDefault="00A16000" w:rsidP="00A1600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4)</w:t>
      </w:r>
      <w:r w:rsidRPr="00A16000">
        <w:rPr>
          <w:rFonts w:eastAsiaTheme="minorHAnsi"/>
          <w:sz w:val="27"/>
          <w:szCs w:val="27"/>
          <w:lang w:eastAsia="en-US"/>
        </w:rPr>
        <w:tab/>
        <w:t>проводить анализ эффективности реализации государственных программ Алтайского края,</w:t>
      </w:r>
      <w:r w:rsidRPr="00A16000">
        <w:rPr>
          <w:rFonts w:eastAsia="Calibri"/>
          <w:sz w:val="27"/>
          <w:szCs w:val="27"/>
          <w:lang w:eastAsia="en-US"/>
        </w:rPr>
        <w:t xml:space="preserve"> контроль за достижением запланированных индикаторов</w:t>
      </w:r>
      <w:r w:rsidRPr="00A16000">
        <w:rPr>
          <w:rFonts w:eastAsiaTheme="minorHAnsi"/>
          <w:sz w:val="27"/>
          <w:szCs w:val="27"/>
          <w:lang w:eastAsia="en-US"/>
        </w:rPr>
        <w:t>, а также конечных результатов их реализации</w:t>
      </w:r>
      <w:r w:rsidRPr="00A16000">
        <w:rPr>
          <w:rFonts w:eastAsia="Calibri"/>
          <w:sz w:val="27"/>
          <w:szCs w:val="27"/>
          <w:lang w:eastAsia="en-US"/>
        </w:rPr>
        <w:t xml:space="preserve">; </w:t>
      </w:r>
    </w:p>
    <w:p w:rsidR="00A16000" w:rsidRPr="00A16000" w:rsidRDefault="00A16000" w:rsidP="00A16000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="Calibri"/>
          <w:sz w:val="27"/>
          <w:szCs w:val="27"/>
          <w:lang w:eastAsia="en-US"/>
        </w:rPr>
        <w:t>5)</w:t>
      </w:r>
      <w:r w:rsidRPr="00A16000">
        <w:rPr>
          <w:rFonts w:eastAsia="Calibri"/>
          <w:sz w:val="27"/>
          <w:szCs w:val="27"/>
          <w:lang w:eastAsia="en-US"/>
        </w:rPr>
        <w:tab/>
        <w:t>осуществлять при</w:t>
      </w:r>
      <w:r w:rsidRPr="00A16000">
        <w:rPr>
          <w:rFonts w:eastAsiaTheme="minorHAnsi"/>
          <w:sz w:val="27"/>
          <w:szCs w:val="27"/>
          <w:lang w:eastAsia="en-US"/>
        </w:rPr>
        <w:t xml:space="preserve"> проведении экспертизы государственных программ Алтайского края (вносимых в них изменений) </w:t>
      </w:r>
      <w:r w:rsidRPr="00A16000">
        <w:rPr>
          <w:rFonts w:eastAsia="Calibri"/>
          <w:sz w:val="27"/>
          <w:szCs w:val="27"/>
          <w:lang w:eastAsia="en-US"/>
        </w:rPr>
        <w:t>анализ и обобщение недостатков системного характера</w:t>
      </w:r>
      <w:r w:rsidRPr="00A16000">
        <w:rPr>
          <w:rFonts w:eastAsiaTheme="minorHAnsi"/>
          <w:sz w:val="27"/>
          <w:szCs w:val="27"/>
          <w:lang w:eastAsia="en-US"/>
        </w:rPr>
        <w:t xml:space="preserve"> в целях</w:t>
      </w:r>
      <w:r w:rsidRPr="00A16000">
        <w:rPr>
          <w:rFonts w:eastAsia="Calibri"/>
          <w:sz w:val="27"/>
          <w:szCs w:val="27"/>
          <w:lang w:eastAsia="en-US"/>
        </w:rPr>
        <w:t xml:space="preserve"> выработки единых подходов к их предупреждению</w:t>
      </w:r>
      <w:r w:rsidRPr="00A16000">
        <w:rPr>
          <w:rFonts w:eastAsiaTheme="minorHAnsi"/>
          <w:sz w:val="27"/>
          <w:szCs w:val="27"/>
          <w:lang w:eastAsia="en-US"/>
        </w:rPr>
        <w:t>;</w:t>
      </w:r>
    </w:p>
    <w:p w:rsidR="00A16000" w:rsidRPr="00A16000" w:rsidRDefault="00A16000" w:rsidP="00A16000">
      <w:pPr>
        <w:tabs>
          <w:tab w:val="left" w:pos="1134"/>
        </w:tabs>
        <w:ind w:firstLine="709"/>
        <w:jc w:val="both"/>
        <w:rPr>
          <w:rFonts w:eastAsiaTheme="minorHAnsi"/>
          <w:sz w:val="27"/>
          <w:szCs w:val="27"/>
          <w:shd w:val="clear" w:color="auto" w:fill="FFFFFF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6)</w:t>
      </w:r>
      <w:r w:rsidRPr="00A16000">
        <w:rPr>
          <w:rFonts w:eastAsiaTheme="minorHAnsi"/>
          <w:sz w:val="27"/>
          <w:szCs w:val="27"/>
          <w:lang w:eastAsia="en-US"/>
        </w:rPr>
        <w:tab/>
        <w:t>продолжить осуществление мониторинга реализации в Алтайском крае региональных проектов, достижения целевых показателей, предусмотренных для Алтайского края национальными проектами;</w:t>
      </w:r>
    </w:p>
    <w:p w:rsidR="00A16000" w:rsidRPr="00A16000" w:rsidRDefault="00A16000" w:rsidP="00A16000">
      <w:pPr>
        <w:tabs>
          <w:tab w:val="left" w:pos="1134"/>
        </w:tabs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lastRenderedPageBreak/>
        <w:t>7)</w:t>
      </w:r>
      <w:r w:rsidRPr="00A16000">
        <w:rPr>
          <w:rFonts w:eastAsiaTheme="minorHAnsi"/>
          <w:sz w:val="27"/>
          <w:szCs w:val="27"/>
          <w:lang w:eastAsia="en-US"/>
        </w:rPr>
        <w:tab/>
        <w:t>осуществлять контроль за соблюдением установленного порядка управления и распоряжения государственной собственностью Алтайского края, деятельностью краевых государственных унитарных предприятий и хозяйственных обществ с долей Алтайского края в уставном капитале;</w:t>
      </w:r>
    </w:p>
    <w:p w:rsidR="00A16000" w:rsidRPr="00A16000" w:rsidRDefault="00A16000" w:rsidP="00A16000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8)</w:t>
      </w:r>
      <w:r w:rsidRPr="00A16000">
        <w:rPr>
          <w:rFonts w:eastAsiaTheme="minorHAnsi"/>
          <w:sz w:val="27"/>
          <w:szCs w:val="27"/>
          <w:lang w:eastAsia="en-US"/>
        </w:rPr>
        <w:tab/>
        <w:t xml:space="preserve">продолжить дальнейшее совершенствование форм и методов внешнего государственного финансового контроля, внедрение в работу современных информационных технологий; </w:t>
      </w:r>
    </w:p>
    <w:p w:rsidR="00A16000" w:rsidRPr="00A16000" w:rsidRDefault="00A16000" w:rsidP="00A16000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9)</w:t>
      </w:r>
      <w:r w:rsidRPr="00A16000">
        <w:rPr>
          <w:rFonts w:eastAsiaTheme="minorHAnsi"/>
          <w:sz w:val="27"/>
          <w:szCs w:val="27"/>
          <w:lang w:eastAsia="en-US"/>
        </w:rPr>
        <w:tab/>
        <w:t>продолжить взаимодействие с контрольно-счетными органами муниципальных районов</w:t>
      </w:r>
      <w:r w:rsidR="007748F0">
        <w:rPr>
          <w:rFonts w:eastAsiaTheme="minorHAnsi"/>
          <w:sz w:val="27"/>
          <w:szCs w:val="27"/>
          <w:lang w:eastAsia="en-US"/>
        </w:rPr>
        <w:t>,</w:t>
      </w:r>
      <w:bookmarkStart w:id="0" w:name="_GoBack"/>
      <w:bookmarkEnd w:id="0"/>
      <w:r w:rsidRPr="00A16000">
        <w:rPr>
          <w:rFonts w:eastAsiaTheme="minorHAnsi"/>
          <w:sz w:val="27"/>
          <w:szCs w:val="27"/>
          <w:lang w:eastAsia="en-US"/>
        </w:rPr>
        <w:t xml:space="preserve"> городских </w:t>
      </w:r>
      <w:r w:rsidR="007748F0" w:rsidRPr="00A16000">
        <w:rPr>
          <w:rFonts w:eastAsiaTheme="minorHAnsi"/>
          <w:sz w:val="27"/>
          <w:szCs w:val="27"/>
          <w:lang w:eastAsia="en-US"/>
        </w:rPr>
        <w:t>и</w:t>
      </w:r>
      <w:r w:rsidR="007748F0" w:rsidRPr="007748F0">
        <w:rPr>
          <w:rFonts w:eastAsiaTheme="minorHAnsi"/>
          <w:sz w:val="27"/>
          <w:szCs w:val="27"/>
          <w:lang w:eastAsia="en-US"/>
        </w:rPr>
        <w:t xml:space="preserve"> муниципальных</w:t>
      </w:r>
      <w:r w:rsidR="007748F0" w:rsidRPr="00A16000">
        <w:rPr>
          <w:rFonts w:eastAsiaTheme="minorHAnsi"/>
          <w:sz w:val="27"/>
          <w:szCs w:val="27"/>
          <w:lang w:eastAsia="en-US"/>
        </w:rPr>
        <w:t xml:space="preserve"> </w:t>
      </w:r>
      <w:r w:rsidRPr="00A16000">
        <w:rPr>
          <w:rFonts w:eastAsiaTheme="minorHAnsi"/>
          <w:sz w:val="27"/>
          <w:szCs w:val="27"/>
          <w:lang w:eastAsia="en-US"/>
        </w:rPr>
        <w:t>округов Алтайского края, в том числе в рамках Совета контрольно-счетных органов Алтайского края и на основании заключенных соглашений, путем проведения совместных и параллельных контрольных и экспертно-аналитических мероприятий, обучающих семинаров;</w:t>
      </w:r>
    </w:p>
    <w:p w:rsidR="00A16000" w:rsidRPr="00A16000" w:rsidRDefault="00A16000" w:rsidP="00A160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10)</w:t>
      </w:r>
      <w:r w:rsidRPr="00A16000">
        <w:rPr>
          <w:rFonts w:eastAsiaTheme="minorHAnsi"/>
          <w:sz w:val="27"/>
          <w:szCs w:val="27"/>
          <w:lang w:eastAsia="en-US"/>
        </w:rPr>
        <w:tab/>
        <w:t>продолжить практику заключения соглашений с органами исполнительной власти Алтайского края о получении постоянного доступа к государственным информационным системам с целью минимизации нагрузки на объекты контроля.</w:t>
      </w:r>
    </w:p>
    <w:p w:rsidR="00A16000" w:rsidRPr="00A16000" w:rsidRDefault="00A16000" w:rsidP="00A16000">
      <w:pPr>
        <w:widowControl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3. Постоянным комитетам Алтайского краевого Законодательного Собрания по правовой политике и местному самоуправлению, по бюджетной, налоговой, экономической политике и имущественным отношениям продолжить работу по оказанию методической помощи органам местного самоуправления с целью завершения деятельности по формированию целостной системы государственного и муниципального внешнего финансового контроля на территории Алтайского края.</w:t>
      </w:r>
    </w:p>
    <w:p w:rsidR="00A16000" w:rsidRPr="00A16000" w:rsidRDefault="00A16000" w:rsidP="00A16000">
      <w:pPr>
        <w:widowControl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 xml:space="preserve">4. Рекомендовать органам местного самоуправления Каменского, </w:t>
      </w:r>
      <w:proofErr w:type="spellStart"/>
      <w:r w:rsidRPr="00A16000">
        <w:rPr>
          <w:rFonts w:eastAsiaTheme="minorHAnsi"/>
          <w:sz w:val="27"/>
          <w:szCs w:val="27"/>
          <w:lang w:eastAsia="en-US"/>
        </w:rPr>
        <w:t>Кытмановского</w:t>
      </w:r>
      <w:proofErr w:type="spellEnd"/>
      <w:r w:rsidRPr="00A16000">
        <w:rPr>
          <w:rFonts w:eastAsiaTheme="minorHAnsi"/>
          <w:sz w:val="27"/>
          <w:szCs w:val="27"/>
          <w:lang w:eastAsia="en-US"/>
        </w:rPr>
        <w:t xml:space="preserve">, Михайловского, Советского, Третьяковского районов Алтайского </w:t>
      </w:r>
      <w:r w:rsidR="00EB31C8">
        <w:rPr>
          <w:rFonts w:eastAsiaTheme="minorHAnsi"/>
          <w:sz w:val="27"/>
          <w:szCs w:val="27"/>
          <w:lang w:eastAsia="en-US"/>
        </w:rPr>
        <w:t>края</w:t>
      </w:r>
      <w:r w:rsidR="00CD6D2E">
        <w:rPr>
          <w:rFonts w:eastAsiaTheme="minorHAnsi"/>
          <w:sz w:val="27"/>
          <w:szCs w:val="27"/>
          <w:lang w:eastAsia="en-US"/>
        </w:rPr>
        <w:t xml:space="preserve">, </w:t>
      </w:r>
      <w:r w:rsidR="00EB31C8" w:rsidRPr="00EB31C8">
        <w:rPr>
          <w:rFonts w:eastAsiaTheme="minorHAnsi"/>
          <w:sz w:val="27"/>
          <w:szCs w:val="27"/>
          <w:lang w:eastAsia="en-US"/>
        </w:rPr>
        <w:t>муниц</w:t>
      </w:r>
      <w:r w:rsidR="00CD6D2E">
        <w:rPr>
          <w:rFonts w:eastAsiaTheme="minorHAnsi"/>
          <w:sz w:val="27"/>
          <w:szCs w:val="27"/>
          <w:lang w:eastAsia="en-US"/>
        </w:rPr>
        <w:t xml:space="preserve">ипального округа </w:t>
      </w:r>
      <w:proofErr w:type="spellStart"/>
      <w:r w:rsidR="00CD6D2E">
        <w:rPr>
          <w:rFonts w:eastAsiaTheme="minorHAnsi"/>
          <w:sz w:val="27"/>
          <w:szCs w:val="27"/>
          <w:lang w:eastAsia="en-US"/>
        </w:rPr>
        <w:t>Суетский</w:t>
      </w:r>
      <w:proofErr w:type="spellEnd"/>
      <w:r w:rsidR="00CD6D2E">
        <w:rPr>
          <w:rFonts w:eastAsiaTheme="minorHAnsi"/>
          <w:sz w:val="27"/>
          <w:szCs w:val="27"/>
          <w:lang w:eastAsia="en-US"/>
        </w:rPr>
        <w:t xml:space="preserve"> район</w:t>
      </w:r>
      <w:r w:rsidR="00532AD3" w:rsidRPr="00532AD3">
        <w:rPr>
          <w:rFonts w:eastAsiaTheme="minorHAnsi"/>
          <w:sz w:val="27"/>
          <w:szCs w:val="27"/>
          <w:lang w:eastAsia="en-US"/>
        </w:rPr>
        <w:t xml:space="preserve"> </w:t>
      </w:r>
      <w:r w:rsidR="00532AD3" w:rsidRPr="00EB31C8">
        <w:rPr>
          <w:rFonts w:eastAsiaTheme="minorHAnsi"/>
          <w:sz w:val="27"/>
          <w:szCs w:val="27"/>
          <w:lang w:eastAsia="en-US"/>
        </w:rPr>
        <w:t>Алтайского края</w:t>
      </w:r>
      <w:r w:rsidR="00CD6D2E">
        <w:rPr>
          <w:rFonts w:eastAsiaTheme="minorHAnsi"/>
          <w:sz w:val="27"/>
          <w:szCs w:val="27"/>
          <w:lang w:eastAsia="en-US"/>
        </w:rPr>
        <w:t xml:space="preserve">, </w:t>
      </w:r>
      <w:r w:rsidR="00EB31C8" w:rsidRPr="00EB31C8">
        <w:rPr>
          <w:rFonts w:eastAsiaTheme="minorHAnsi"/>
          <w:sz w:val="27"/>
          <w:szCs w:val="27"/>
          <w:lang w:eastAsia="en-US"/>
        </w:rPr>
        <w:t xml:space="preserve">муниципального округа </w:t>
      </w:r>
      <w:proofErr w:type="spellStart"/>
      <w:r w:rsidR="00EB31C8" w:rsidRPr="00EB31C8">
        <w:rPr>
          <w:rFonts w:eastAsiaTheme="minorHAnsi"/>
          <w:sz w:val="27"/>
          <w:szCs w:val="27"/>
          <w:lang w:eastAsia="en-US"/>
        </w:rPr>
        <w:t>Чарышский</w:t>
      </w:r>
      <w:proofErr w:type="spellEnd"/>
      <w:r w:rsidR="00EB31C8" w:rsidRPr="00EB31C8">
        <w:rPr>
          <w:rFonts w:eastAsiaTheme="minorHAnsi"/>
          <w:sz w:val="27"/>
          <w:szCs w:val="27"/>
          <w:lang w:eastAsia="en-US"/>
        </w:rPr>
        <w:t xml:space="preserve"> район Алтайского края </w:t>
      </w:r>
      <w:r w:rsidRPr="00A16000">
        <w:rPr>
          <w:rFonts w:eastAsiaTheme="minorHAnsi"/>
          <w:sz w:val="27"/>
          <w:szCs w:val="27"/>
          <w:lang w:eastAsia="en-US"/>
        </w:rPr>
        <w:t xml:space="preserve">принять меры по осуществлению внешнего муниципального финансового контроля на территориях муниципальных образований, входящих в состав данных районов (замещению вакантных должностей в контрольно-счетных органах муниципальных районов). </w:t>
      </w:r>
    </w:p>
    <w:p w:rsidR="00A16000" w:rsidRPr="00A16000" w:rsidRDefault="00A16000" w:rsidP="00A16000">
      <w:pPr>
        <w:widowControl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>5. Постоянным комитетам Алтайского краевого Законодательного Собрания совместно со Счетной палатой Алтайского края по вопросам их ведения проводить обсуждение результатов наиболее значимых контрольных и эксп</w:t>
      </w:r>
      <w:r w:rsidR="00827A0F">
        <w:rPr>
          <w:rFonts w:eastAsiaTheme="minorHAnsi"/>
          <w:sz w:val="27"/>
          <w:szCs w:val="27"/>
          <w:lang w:eastAsia="en-US"/>
        </w:rPr>
        <w:t>ертно-аналитических мероприятий</w:t>
      </w:r>
      <w:r w:rsidRPr="00A16000">
        <w:rPr>
          <w:rFonts w:eastAsiaTheme="minorHAnsi"/>
          <w:sz w:val="27"/>
          <w:szCs w:val="27"/>
          <w:lang w:eastAsia="en-US"/>
        </w:rPr>
        <w:t xml:space="preserve"> с целью выработки предложений о необходимости совершенствования нормативных правовых актов Алтайского края.</w:t>
      </w:r>
    </w:p>
    <w:p w:rsidR="00A16000" w:rsidRPr="00A16000" w:rsidRDefault="00A16000" w:rsidP="00A16000">
      <w:pPr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16000">
        <w:rPr>
          <w:rFonts w:eastAsiaTheme="minorHAnsi"/>
          <w:sz w:val="27"/>
          <w:szCs w:val="27"/>
          <w:lang w:eastAsia="en-US"/>
        </w:rPr>
        <w:t xml:space="preserve">6. Контроль за исполнением настоящего постановления возложить на </w:t>
      </w:r>
      <w:r w:rsidR="00CD6D2E">
        <w:rPr>
          <w:rFonts w:eastAsiaTheme="minorHAnsi"/>
          <w:sz w:val="27"/>
          <w:szCs w:val="27"/>
          <w:lang w:eastAsia="en-US"/>
        </w:rPr>
        <w:t xml:space="preserve">постоянный </w:t>
      </w:r>
      <w:r w:rsidRPr="00A16000">
        <w:rPr>
          <w:rFonts w:eastAsiaTheme="minorHAnsi"/>
          <w:sz w:val="27"/>
          <w:szCs w:val="27"/>
          <w:lang w:eastAsia="en-US"/>
        </w:rPr>
        <w:t>комитет Алтайского краевого Законодательного Собрания по бюджетной, налоговой, экономической политике и имущественным отношениям.</w:t>
      </w:r>
    </w:p>
    <w:p w:rsidR="00FA2852" w:rsidRPr="00A16000" w:rsidRDefault="00FA2852" w:rsidP="00FA2852">
      <w:pPr>
        <w:ind w:firstLine="720"/>
        <w:jc w:val="both"/>
        <w:rPr>
          <w:sz w:val="27"/>
          <w:szCs w:val="27"/>
        </w:rPr>
      </w:pPr>
    </w:p>
    <w:p w:rsidR="00FA2852" w:rsidRPr="00A16000" w:rsidRDefault="00FA2852" w:rsidP="00FA2852">
      <w:pPr>
        <w:ind w:firstLine="720"/>
        <w:jc w:val="both"/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A16000" w:rsidTr="00380826">
        <w:tc>
          <w:tcPr>
            <w:tcW w:w="6521" w:type="dxa"/>
          </w:tcPr>
          <w:p w:rsidR="00C46731" w:rsidRPr="00A16000" w:rsidRDefault="007207AC" w:rsidP="0067025C">
            <w:pPr>
              <w:ind w:left="-108"/>
              <w:rPr>
                <w:sz w:val="27"/>
                <w:szCs w:val="27"/>
              </w:rPr>
            </w:pPr>
            <w:r w:rsidRPr="00A16000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A16000" w:rsidRDefault="007207AC" w:rsidP="0067025C">
            <w:pPr>
              <w:ind w:left="-108"/>
              <w:rPr>
                <w:sz w:val="27"/>
                <w:szCs w:val="27"/>
              </w:rPr>
            </w:pPr>
            <w:r w:rsidRPr="00A16000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A16000" w:rsidRDefault="008B0927" w:rsidP="00DE47A5">
            <w:pPr>
              <w:ind w:right="-91"/>
              <w:jc w:val="right"/>
              <w:rPr>
                <w:sz w:val="27"/>
                <w:szCs w:val="27"/>
              </w:rPr>
            </w:pPr>
            <w:r w:rsidRPr="00A16000">
              <w:rPr>
                <w:sz w:val="27"/>
                <w:szCs w:val="27"/>
              </w:rPr>
              <w:t xml:space="preserve">    </w:t>
            </w:r>
            <w:r w:rsidR="00DE47A5" w:rsidRPr="00A16000">
              <w:rPr>
                <w:sz w:val="27"/>
                <w:szCs w:val="27"/>
              </w:rPr>
              <w:t xml:space="preserve">           </w:t>
            </w:r>
            <w:r w:rsidR="00754493" w:rsidRPr="00A16000">
              <w:rPr>
                <w:sz w:val="27"/>
                <w:szCs w:val="27"/>
              </w:rPr>
              <w:t>А.А. Романенко</w:t>
            </w:r>
          </w:p>
        </w:tc>
      </w:tr>
    </w:tbl>
    <w:p w:rsidR="00BE7BCB" w:rsidRPr="00A16000" w:rsidRDefault="00BE7BCB" w:rsidP="00863C48">
      <w:pPr>
        <w:rPr>
          <w:sz w:val="27"/>
          <w:szCs w:val="27"/>
        </w:rPr>
      </w:pPr>
    </w:p>
    <w:p w:rsidR="00C86A57" w:rsidRPr="00A16000" w:rsidRDefault="00C86A57" w:rsidP="00863C48">
      <w:pPr>
        <w:rPr>
          <w:sz w:val="27"/>
          <w:szCs w:val="27"/>
        </w:rPr>
      </w:pPr>
    </w:p>
    <w:sectPr w:rsidR="00C86A57" w:rsidRPr="00A16000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748F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FF38FD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16000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  <w:r w:rsidR="00846AFC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475165" w:rsidP="00CB49DE">
          <w:pPr>
            <w:rPr>
              <w:szCs w:val="28"/>
            </w:rPr>
          </w:pPr>
          <w:r>
            <w:rPr>
              <w:szCs w:val="28"/>
            </w:rPr>
            <w:t xml:space="preserve">        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11C0072"/>
    <w:multiLevelType w:val="hybridMultilevel"/>
    <w:tmpl w:val="8E74A212"/>
    <w:lvl w:ilvl="0" w:tplc="63067B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67CDC"/>
    <w:rsid w:val="00092B89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53B63"/>
    <w:rsid w:val="00162F72"/>
    <w:rsid w:val="00167D3D"/>
    <w:rsid w:val="00173FFE"/>
    <w:rsid w:val="00195A56"/>
    <w:rsid w:val="001D4848"/>
    <w:rsid w:val="001D4B91"/>
    <w:rsid w:val="002136CB"/>
    <w:rsid w:val="00231E03"/>
    <w:rsid w:val="0024389B"/>
    <w:rsid w:val="00243BCC"/>
    <w:rsid w:val="002645D3"/>
    <w:rsid w:val="002869A7"/>
    <w:rsid w:val="002D57BC"/>
    <w:rsid w:val="0030109C"/>
    <w:rsid w:val="00332B99"/>
    <w:rsid w:val="00334BA4"/>
    <w:rsid w:val="00350AF1"/>
    <w:rsid w:val="0035215A"/>
    <w:rsid w:val="00372510"/>
    <w:rsid w:val="00376668"/>
    <w:rsid w:val="00380826"/>
    <w:rsid w:val="003B6F3C"/>
    <w:rsid w:val="003E0FEB"/>
    <w:rsid w:val="003E29C0"/>
    <w:rsid w:val="004074BC"/>
    <w:rsid w:val="0043331F"/>
    <w:rsid w:val="00444F8F"/>
    <w:rsid w:val="00456BF9"/>
    <w:rsid w:val="00460F3C"/>
    <w:rsid w:val="00475165"/>
    <w:rsid w:val="0049249D"/>
    <w:rsid w:val="004956E1"/>
    <w:rsid w:val="004B04C1"/>
    <w:rsid w:val="004B6B55"/>
    <w:rsid w:val="005106A8"/>
    <w:rsid w:val="00516428"/>
    <w:rsid w:val="005232BE"/>
    <w:rsid w:val="00532AD3"/>
    <w:rsid w:val="00541A9C"/>
    <w:rsid w:val="00542516"/>
    <w:rsid w:val="00570AE4"/>
    <w:rsid w:val="0057215E"/>
    <w:rsid w:val="00575331"/>
    <w:rsid w:val="00590AB1"/>
    <w:rsid w:val="005A0D75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B38D6"/>
    <w:rsid w:val="006E49C5"/>
    <w:rsid w:val="006F0A72"/>
    <w:rsid w:val="0070459E"/>
    <w:rsid w:val="00714AE6"/>
    <w:rsid w:val="007207AC"/>
    <w:rsid w:val="00727C3D"/>
    <w:rsid w:val="00730BA0"/>
    <w:rsid w:val="00731E4C"/>
    <w:rsid w:val="00733754"/>
    <w:rsid w:val="00737247"/>
    <w:rsid w:val="00743A30"/>
    <w:rsid w:val="007466EC"/>
    <w:rsid w:val="00754493"/>
    <w:rsid w:val="0076130D"/>
    <w:rsid w:val="0076187B"/>
    <w:rsid w:val="00767911"/>
    <w:rsid w:val="007716F9"/>
    <w:rsid w:val="007748F0"/>
    <w:rsid w:val="007A21AF"/>
    <w:rsid w:val="007A6021"/>
    <w:rsid w:val="007D3699"/>
    <w:rsid w:val="008121B0"/>
    <w:rsid w:val="008178D7"/>
    <w:rsid w:val="00821ADB"/>
    <w:rsid w:val="00827A0F"/>
    <w:rsid w:val="00846AFC"/>
    <w:rsid w:val="00854720"/>
    <w:rsid w:val="00863C48"/>
    <w:rsid w:val="0087460D"/>
    <w:rsid w:val="00876889"/>
    <w:rsid w:val="0088744C"/>
    <w:rsid w:val="00895DCD"/>
    <w:rsid w:val="008B0927"/>
    <w:rsid w:val="009036ED"/>
    <w:rsid w:val="00917949"/>
    <w:rsid w:val="00917FD6"/>
    <w:rsid w:val="009401D4"/>
    <w:rsid w:val="0096572D"/>
    <w:rsid w:val="009815C1"/>
    <w:rsid w:val="009A69E6"/>
    <w:rsid w:val="009B15B4"/>
    <w:rsid w:val="009E1F8B"/>
    <w:rsid w:val="009F199B"/>
    <w:rsid w:val="00A10F44"/>
    <w:rsid w:val="00A11CD5"/>
    <w:rsid w:val="00A16000"/>
    <w:rsid w:val="00A42CDB"/>
    <w:rsid w:val="00A5385E"/>
    <w:rsid w:val="00A54244"/>
    <w:rsid w:val="00A54D52"/>
    <w:rsid w:val="00AB13F0"/>
    <w:rsid w:val="00AC5D92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97A52"/>
    <w:rsid w:val="00CA2F3F"/>
    <w:rsid w:val="00CB49DE"/>
    <w:rsid w:val="00CC1981"/>
    <w:rsid w:val="00CD6D2E"/>
    <w:rsid w:val="00D051DA"/>
    <w:rsid w:val="00D077E7"/>
    <w:rsid w:val="00D14C05"/>
    <w:rsid w:val="00D271AE"/>
    <w:rsid w:val="00D43320"/>
    <w:rsid w:val="00D70073"/>
    <w:rsid w:val="00D703D7"/>
    <w:rsid w:val="00D76C5D"/>
    <w:rsid w:val="00D93F0A"/>
    <w:rsid w:val="00DE47A5"/>
    <w:rsid w:val="00E33FB9"/>
    <w:rsid w:val="00E52C30"/>
    <w:rsid w:val="00E631F7"/>
    <w:rsid w:val="00E7259F"/>
    <w:rsid w:val="00E75E68"/>
    <w:rsid w:val="00EA59DD"/>
    <w:rsid w:val="00EA7F09"/>
    <w:rsid w:val="00EB31C8"/>
    <w:rsid w:val="00EF0252"/>
    <w:rsid w:val="00EF40C5"/>
    <w:rsid w:val="00F31092"/>
    <w:rsid w:val="00F350AD"/>
    <w:rsid w:val="00F36525"/>
    <w:rsid w:val="00F4341A"/>
    <w:rsid w:val="00F52D9C"/>
    <w:rsid w:val="00F52DB4"/>
    <w:rsid w:val="00F54E20"/>
    <w:rsid w:val="00F7146B"/>
    <w:rsid w:val="00F811B8"/>
    <w:rsid w:val="00FA2852"/>
    <w:rsid w:val="00FF38FD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2021-05-27T07:46:00Z</cp:lastPrinted>
  <dcterms:created xsi:type="dcterms:W3CDTF">2022-05-05T02:06:00Z</dcterms:created>
  <dcterms:modified xsi:type="dcterms:W3CDTF">2022-05-11T09:17:00Z</dcterms:modified>
</cp:coreProperties>
</file>