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4E0C4E" w:rsidRPr="004E0C4E" w:rsidRDefault="004E0C4E" w:rsidP="004E0C4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739088-7 «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1.1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>днях воинско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й славы и памятных датах России» 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(об установлении памятной даты России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>11 ноября - День окончания Великого стояния на реке Угре (1480 год)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>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E0C4E" w:rsidRPr="004E0C4E" w:rsidRDefault="004E0C4E" w:rsidP="004E0C4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750505-7 «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>воинск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ой обязанности и военной службе»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связи с совершенствованием осуществления воинского учета граждан на территориях муниципальных округов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E0C4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муниципальных образований, на территории которых осуществляется первичный воинский учет)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A22BA" w:rsidRPr="001A22BA" w:rsidRDefault="001A22BA" w:rsidP="001A22B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719321-7 «</w:t>
      </w:r>
      <w:r w:rsidRPr="001A22B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1A22BA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1A22B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порядка предоставления прав, социальных гарантий и мер социальной поддержки руководителям и заместителям руководителей образовательных организаций, а также руководителям и заместителям руководителей их структурных подразделений)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A22BA" w:rsidRPr="001A22BA" w:rsidRDefault="001A22BA" w:rsidP="001A22B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754054-7 «</w:t>
      </w:r>
      <w:r w:rsidRPr="001A22B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1A22BA">
        <w:rPr>
          <w:rFonts w:ascii="TimesNewRomanPSMT" w:hAnsi="TimesNewRomanPSMT" w:cs="TimesNewRomanPSMT"/>
          <w:color w:val="000000" w:themeColor="text1"/>
          <w:sz w:val="28"/>
          <w:szCs w:val="28"/>
        </w:rPr>
        <w:t>обязательном социальном страховании от несчастных случаев на производстве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профессиональных заболеваний»;</w:t>
      </w:r>
    </w:p>
    <w:p w:rsidR="001A22BA" w:rsidRPr="001A22BA" w:rsidRDefault="00D00A20" w:rsidP="00D00A2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755304-7 «</w:t>
      </w:r>
      <w:r w:rsidRPr="00D00A2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сумм, причитающихся работнику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D00A20" w:rsidRPr="00D00A20" w:rsidRDefault="00D00A20" w:rsidP="00D00A2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755390-7 «</w:t>
      </w:r>
      <w:r w:rsidRPr="00D00A2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государственной власти субъектов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D00A2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издания федеральными органами исполнительной власти обязательных для исполнения органами власти субъектов Российской Федерации методических указаний по осуществлению переданных полномочий Российской Федерации в сфере социальной поддержки отдельных категорий граждан)</w:t>
      </w:r>
      <w:r w:rsidR="00C1413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D00A20" w:rsidRPr="00C14136" w:rsidRDefault="00981CD1" w:rsidP="00C141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</w:t>
      </w:r>
      <w:r w:rsidR="00C14136">
        <w:rPr>
          <w:rFonts w:ascii="TimesNewRomanPSMT" w:hAnsi="TimesNewRomanPSMT" w:cs="TimesNewRomanPSMT"/>
          <w:sz w:val="28"/>
          <w:szCs w:val="28"/>
        </w:rPr>
        <w:t xml:space="preserve">проекта федерального закона </w:t>
      </w:r>
      <w:r w:rsidR="00C14136">
        <w:rPr>
          <w:rFonts w:ascii="TimesNewRomanPSMT" w:hAnsi="TimesNewRomanPSMT" w:cs="TimesNewRomanPSMT"/>
          <w:color w:val="000000" w:themeColor="text1"/>
          <w:sz w:val="28"/>
          <w:szCs w:val="28"/>
        </w:rPr>
        <w:t>№ </w:t>
      </w:r>
      <w:r w:rsidR="00D00A20">
        <w:rPr>
          <w:rFonts w:ascii="TimesNewRomanPSMT" w:hAnsi="TimesNewRomanPSMT" w:cs="TimesNewRomanPSMT"/>
          <w:color w:val="000000" w:themeColor="text1"/>
          <w:sz w:val="28"/>
          <w:szCs w:val="28"/>
        </w:rPr>
        <w:t>729315-7 «</w:t>
      </w:r>
      <w:r w:rsidR="00D00A20" w:rsidRPr="00D00A2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 w:rsidR="00D00A2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="00D00A20" w:rsidRPr="00D00A2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условий компенсации расходов на оплату стоимости проезда пенсионеров к месту отдыха и обратно личным транспортом)</w:t>
      </w:r>
      <w:r w:rsidR="00C1413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C90AE5">
      <w:headerReference w:type="default" r:id="rId8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44" w:rsidRDefault="00BA6044" w:rsidP="000E1792">
      <w:r>
        <w:separator/>
      </w:r>
    </w:p>
  </w:endnote>
  <w:endnote w:type="continuationSeparator" w:id="0">
    <w:p w:rsidR="00BA6044" w:rsidRDefault="00BA6044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44" w:rsidRDefault="00BA6044" w:rsidP="000E1792">
      <w:r>
        <w:separator/>
      </w:r>
    </w:p>
  </w:footnote>
  <w:footnote w:type="continuationSeparator" w:id="0">
    <w:p w:rsidR="00BA6044" w:rsidRDefault="00BA6044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136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A22BA"/>
    <w:rsid w:val="00415D1D"/>
    <w:rsid w:val="004E0C4E"/>
    <w:rsid w:val="007C5C15"/>
    <w:rsid w:val="00804377"/>
    <w:rsid w:val="00946B29"/>
    <w:rsid w:val="00950B3C"/>
    <w:rsid w:val="00981CD1"/>
    <w:rsid w:val="00AD3E0A"/>
    <w:rsid w:val="00B60441"/>
    <w:rsid w:val="00BA6044"/>
    <w:rsid w:val="00BE32FD"/>
    <w:rsid w:val="00C14136"/>
    <w:rsid w:val="00C41FA4"/>
    <w:rsid w:val="00C90AE5"/>
    <w:rsid w:val="00D00A20"/>
    <w:rsid w:val="00D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6CDF-C4ED-4358-AD41-E00F52F9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11</cp:revision>
  <dcterms:created xsi:type="dcterms:W3CDTF">2018-08-21T03:55:00Z</dcterms:created>
  <dcterms:modified xsi:type="dcterms:W3CDTF">2019-08-23T01:43:00Z</dcterms:modified>
</cp:coreProperties>
</file>